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F474" w14:textId="77777777" w:rsidR="00FE067E" w:rsidRPr="0088793D" w:rsidRDefault="003C6034" w:rsidP="00CC1F3B">
      <w:pPr>
        <w:pStyle w:val="TitlePageOrigin"/>
        <w:rPr>
          <w:color w:val="auto"/>
        </w:rPr>
      </w:pPr>
      <w:r w:rsidRPr="0088793D">
        <w:rPr>
          <w:caps w:val="0"/>
          <w:color w:val="auto"/>
        </w:rPr>
        <w:t>WEST VIRGINIA LEGISLATURE</w:t>
      </w:r>
    </w:p>
    <w:p w14:paraId="6BFDC155" w14:textId="77777777" w:rsidR="00CD36CF" w:rsidRPr="0088793D" w:rsidRDefault="00CD36CF" w:rsidP="00CC1F3B">
      <w:pPr>
        <w:pStyle w:val="TitlePageSession"/>
        <w:rPr>
          <w:color w:val="auto"/>
        </w:rPr>
      </w:pPr>
      <w:r w:rsidRPr="0088793D">
        <w:rPr>
          <w:color w:val="auto"/>
        </w:rPr>
        <w:t>20</w:t>
      </w:r>
      <w:r w:rsidR="00EC5E63" w:rsidRPr="0088793D">
        <w:rPr>
          <w:color w:val="auto"/>
        </w:rPr>
        <w:t>2</w:t>
      </w:r>
      <w:r w:rsidR="00C62327" w:rsidRPr="0088793D">
        <w:rPr>
          <w:color w:val="auto"/>
        </w:rPr>
        <w:t>4</w:t>
      </w:r>
      <w:r w:rsidRPr="0088793D">
        <w:rPr>
          <w:color w:val="auto"/>
        </w:rPr>
        <w:t xml:space="preserve"> </w:t>
      </w:r>
      <w:r w:rsidR="003C6034" w:rsidRPr="0088793D">
        <w:rPr>
          <w:caps w:val="0"/>
          <w:color w:val="auto"/>
        </w:rPr>
        <w:t>REGULAR SESSION</w:t>
      </w:r>
    </w:p>
    <w:p w14:paraId="00EEC6C1" w14:textId="77777777" w:rsidR="00CD36CF" w:rsidRPr="0088793D" w:rsidRDefault="00AE76ED" w:rsidP="00CC1F3B">
      <w:pPr>
        <w:pStyle w:val="TitlePageBillPrefix"/>
        <w:rPr>
          <w:color w:val="auto"/>
        </w:rPr>
      </w:pPr>
      <w:sdt>
        <w:sdtPr>
          <w:rPr>
            <w:color w:val="auto"/>
          </w:rPr>
          <w:tag w:val="IntroDate"/>
          <w:id w:val="-1236936958"/>
          <w:placeholder>
            <w:docPart w:val="72379C4A7D194DC680E45CCA1497BF4B"/>
          </w:placeholder>
          <w:text/>
        </w:sdtPr>
        <w:sdtEndPr/>
        <w:sdtContent>
          <w:r w:rsidR="00AE48A0" w:rsidRPr="0088793D">
            <w:rPr>
              <w:color w:val="auto"/>
            </w:rPr>
            <w:t>Introduced</w:t>
          </w:r>
        </w:sdtContent>
      </w:sdt>
    </w:p>
    <w:p w14:paraId="634B8ABD" w14:textId="41A483AC" w:rsidR="00CD36CF" w:rsidRPr="0088793D" w:rsidRDefault="00AE76ED" w:rsidP="00CC1F3B">
      <w:pPr>
        <w:pStyle w:val="BillNumber"/>
        <w:rPr>
          <w:color w:val="auto"/>
        </w:rPr>
      </w:pPr>
      <w:sdt>
        <w:sdtPr>
          <w:rPr>
            <w:color w:val="auto"/>
          </w:rPr>
          <w:tag w:val="Chamber"/>
          <w:id w:val="893011969"/>
          <w:lock w:val="sdtLocked"/>
          <w:placeholder>
            <w:docPart w:val="6A6FC6C37CC04EADB2D1EFF3CC80E7DA"/>
          </w:placeholder>
          <w:dropDownList>
            <w:listItem w:displayText="House" w:value="House"/>
            <w:listItem w:displayText="Senate" w:value="Senate"/>
          </w:dropDownList>
        </w:sdtPr>
        <w:sdtEndPr/>
        <w:sdtContent>
          <w:r w:rsidR="00C33434" w:rsidRPr="0088793D">
            <w:rPr>
              <w:color w:val="auto"/>
            </w:rPr>
            <w:t>House</w:t>
          </w:r>
        </w:sdtContent>
      </w:sdt>
      <w:r w:rsidR="00303684" w:rsidRPr="0088793D">
        <w:rPr>
          <w:color w:val="auto"/>
        </w:rPr>
        <w:t xml:space="preserve"> </w:t>
      </w:r>
      <w:r w:rsidR="00CD36CF" w:rsidRPr="0088793D">
        <w:rPr>
          <w:color w:val="auto"/>
        </w:rPr>
        <w:t xml:space="preserve">Bill </w:t>
      </w:r>
      <w:sdt>
        <w:sdtPr>
          <w:rPr>
            <w:color w:val="auto"/>
          </w:rPr>
          <w:tag w:val="BNum"/>
          <w:id w:val="1645317809"/>
          <w:lock w:val="sdtLocked"/>
          <w:placeholder>
            <w:docPart w:val="A94AFE6FF01E406DADBE0683909ADB6C"/>
          </w:placeholder>
          <w:text/>
        </w:sdtPr>
        <w:sdtEndPr/>
        <w:sdtContent>
          <w:r>
            <w:rPr>
              <w:color w:val="auto"/>
            </w:rPr>
            <w:t>5630</w:t>
          </w:r>
        </w:sdtContent>
      </w:sdt>
    </w:p>
    <w:p w14:paraId="64167071" w14:textId="45A45D75" w:rsidR="00CD36CF" w:rsidRPr="0088793D" w:rsidRDefault="00CD36CF" w:rsidP="00CC1F3B">
      <w:pPr>
        <w:pStyle w:val="Sponsors"/>
        <w:rPr>
          <w:color w:val="auto"/>
        </w:rPr>
      </w:pPr>
      <w:r w:rsidRPr="0088793D">
        <w:rPr>
          <w:color w:val="auto"/>
        </w:rPr>
        <w:t xml:space="preserve">By </w:t>
      </w:r>
      <w:sdt>
        <w:sdtPr>
          <w:rPr>
            <w:color w:val="auto"/>
          </w:rPr>
          <w:tag w:val="Sponsors"/>
          <w:id w:val="1589585889"/>
          <w:placeholder>
            <w:docPart w:val="337E8CE3C68F421EBE24C8B961AA107B"/>
          </w:placeholder>
          <w:text w:multiLine="1"/>
        </w:sdtPr>
        <w:sdtEndPr/>
        <w:sdtContent>
          <w:r w:rsidR="00033ECE" w:rsidRPr="0088793D">
            <w:rPr>
              <w:color w:val="auto"/>
            </w:rPr>
            <w:t>Delegate</w:t>
          </w:r>
          <w:r w:rsidR="004C175B">
            <w:rPr>
              <w:color w:val="auto"/>
            </w:rPr>
            <w:t>s</w:t>
          </w:r>
          <w:r w:rsidR="00033ECE" w:rsidRPr="0088793D">
            <w:rPr>
              <w:color w:val="auto"/>
            </w:rPr>
            <w:t xml:space="preserve"> Holstein</w:t>
          </w:r>
          <w:r w:rsidR="004C175B">
            <w:rPr>
              <w:color w:val="auto"/>
            </w:rPr>
            <w:t>, Barnhart, Tully, Mallow, Cannon, Foster, and E. Pritt</w:t>
          </w:r>
        </w:sdtContent>
      </w:sdt>
    </w:p>
    <w:p w14:paraId="4BE4870D" w14:textId="6F224410" w:rsidR="00E831B3" w:rsidRPr="0088793D" w:rsidRDefault="00CD36CF" w:rsidP="00CC1F3B">
      <w:pPr>
        <w:pStyle w:val="References"/>
        <w:rPr>
          <w:color w:val="auto"/>
        </w:rPr>
      </w:pPr>
      <w:r w:rsidRPr="0088793D">
        <w:rPr>
          <w:color w:val="auto"/>
        </w:rPr>
        <w:t>[</w:t>
      </w:r>
      <w:sdt>
        <w:sdtPr>
          <w:rPr>
            <w:color w:val="auto"/>
          </w:rPr>
          <w:tag w:val="References"/>
          <w:id w:val="-1043047873"/>
          <w:placeholder>
            <w:docPart w:val="B773A30405BD447FA7204B456A02FE35"/>
          </w:placeholder>
          <w:text w:multiLine="1"/>
        </w:sdtPr>
        <w:sdtEndPr/>
        <w:sdtContent>
          <w:r w:rsidR="00AE76ED">
            <w:rPr>
              <w:color w:val="auto"/>
            </w:rPr>
            <w:t>Introduced February 12, 2024; Referred to the Committee on Finance</w:t>
          </w:r>
        </w:sdtContent>
      </w:sdt>
      <w:r w:rsidRPr="0088793D">
        <w:rPr>
          <w:color w:val="auto"/>
        </w:rPr>
        <w:t>]</w:t>
      </w:r>
    </w:p>
    <w:p w14:paraId="191DDC0F" w14:textId="6DA1D50F" w:rsidR="00303684" w:rsidRPr="0088793D" w:rsidRDefault="0000526A" w:rsidP="00CC1F3B">
      <w:pPr>
        <w:pStyle w:val="TitleSection"/>
        <w:rPr>
          <w:color w:val="auto"/>
        </w:rPr>
      </w:pPr>
      <w:r w:rsidRPr="0088793D">
        <w:rPr>
          <w:color w:val="auto"/>
        </w:rPr>
        <w:lastRenderedPageBreak/>
        <w:t>A BILL</w:t>
      </w:r>
      <w:r w:rsidR="00033ECE" w:rsidRPr="0088793D">
        <w:rPr>
          <w:color w:val="auto"/>
        </w:rPr>
        <w:t xml:space="preserve"> to amend and reenact §</w:t>
      </w:r>
      <w:r w:rsidR="007448CC" w:rsidRPr="0088793D">
        <w:rPr>
          <w:color w:val="auto"/>
        </w:rPr>
        <w:t xml:space="preserve">11-3-2a of the Code of West Virginia, 1931, as amended, relating to notice of increased assessment of real property, if assessed value is more than </w:t>
      </w:r>
      <w:r w:rsidR="007066F8">
        <w:rPr>
          <w:color w:val="auto"/>
        </w:rPr>
        <w:t>five</w:t>
      </w:r>
      <w:r w:rsidR="007448CC" w:rsidRPr="0088793D">
        <w:rPr>
          <w:color w:val="auto"/>
        </w:rPr>
        <w:t xml:space="preserve"> percent of the valuation for the last tax year.</w:t>
      </w:r>
    </w:p>
    <w:p w14:paraId="298FF93A" w14:textId="77777777" w:rsidR="00303684" w:rsidRPr="0088793D" w:rsidRDefault="00303684" w:rsidP="00CC1F3B">
      <w:pPr>
        <w:pStyle w:val="EnactingClause"/>
        <w:rPr>
          <w:color w:val="auto"/>
        </w:rPr>
      </w:pPr>
      <w:r w:rsidRPr="0088793D">
        <w:rPr>
          <w:color w:val="auto"/>
        </w:rPr>
        <w:t>Be it enacted by the Legislature of West Virginia:</w:t>
      </w:r>
    </w:p>
    <w:p w14:paraId="1358EE61" w14:textId="77777777" w:rsidR="003C6034" w:rsidRPr="0088793D" w:rsidRDefault="003C6034" w:rsidP="00CC1F3B">
      <w:pPr>
        <w:pStyle w:val="EnactingClause"/>
        <w:rPr>
          <w:color w:val="auto"/>
        </w:rPr>
        <w:sectPr w:rsidR="003C6034" w:rsidRPr="0088793D" w:rsidSect="00033E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7EF9D9" w14:textId="77777777" w:rsidR="00033ECE" w:rsidRPr="0088793D" w:rsidRDefault="00033ECE" w:rsidP="00410696">
      <w:pPr>
        <w:pStyle w:val="ArticleHeading"/>
        <w:rPr>
          <w:color w:val="auto"/>
        </w:rPr>
        <w:sectPr w:rsidR="00033ECE" w:rsidRPr="0088793D" w:rsidSect="0012279D">
          <w:type w:val="continuous"/>
          <w:pgSz w:w="12240" w:h="15840" w:code="1"/>
          <w:pgMar w:top="1440" w:right="1440" w:bottom="1440" w:left="1440" w:header="720" w:footer="720" w:gutter="0"/>
          <w:lnNumType w:countBy="1" w:restart="newSection"/>
          <w:cols w:space="720"/>
          <w:titlePg/>
          <w:docGrid w:linePitch="360"/>
        </w:sectPr>
      </w:pPr>
      <w:r w:rsidRPr="0088793D">
        <w:rPr>
          <w:color w:val="auto"/>
        </w:rPr>
        <w:t>ARTICLE 3. ASSESSMENTS GENERALLY.</w:t>
      </w:r>
    </w:p>
    <w:p w14:paraId="01DBF612" w14:textId="77777777" w:rsidR="00033ECE" w:rsidRPr="0088793D" w:rsidRDefault="00033ECE" w:rsidP="000E3489">
      <w:pPr>
        <w:pStyle w:val="SectionHeading"/>
        <w:rPr>
          <w:color w:val="auto"/>
        </w:rPr>
      </w:pPr>
      <w:r w:rsidRPr="0088793D">
        <w:rPr>
          <w:color w:val="auto"/>
        </w:rPr>
        <w:t>§11-3-2a. Notice of increased assessment required for real property; exceptions to notice.</w:t>
      </w:r>
    </w:p>
    <w:p w14:paraId="6E7BCB94" w14:textId="4E3FBCED" w:rsidR="00033ECE" w:rsidRPr="0088793D" w:rsidRDefault="00033ECE" w:rsidP="000E3489">
      <w:pPr>
        <w:pStyle w:val="SectionBody"/>
        <w:rPr>
          <w:color w:val="auto"/>
        </w:rPr>
      </w:pPr>
      <w:r w:rsidRPr="0088793D">
        <w:rPr>
          <w:color w:val="auto"/>
        </w:rPr>
        <w:t xml:space="preserve">(a) If the assessor determines the assessed valuation of any item of real property appraised by him or her is more than </w:t>
      </w:r>
      <w:r w:rsidR="007448CC" w:rsidRPr="0088793D">
        <w:rPr>
          <w:strike/>
          <w:color w:val="auto"/>
        </w:rPr>
        <w:t>10</w:t>
      </w:r>
      <w:r w:rsidRPr="0088793D">
        <w:rPr>
          <w:color w:val="auto"/>
        </w:rPr>
        <w:t xml:space="preserve"> </w:t>
      </w:r>
      <w:r w:rsidR="007066F8">
        <w:rPr>
          <w:color w:val="auto"/>
          <w:u w:val="single"/>
        </w:rPr>
        <w:t>five</w:t>
      </w:r>
      <w:r w:rsidR="007448CC" w:rsidRPr="0088793D">
        <w:rPr>
          <w:color w:val="auto"/>
        </w:rPr>
        <w:t xml:space="preserve"> </w:t>
      </w:r>
      <w:r w:rsidRPr="0088793D">
        <w:rPr>
          <w:color w:val="auto"/>
        </w:rPr>
        <w:t xml:space="preserve">percent greater than the valuation assessed for that item in the last tax year, the increase is </w:t>
      </w:r>
      <w:r w:rsidRPr="007066F8">
        <w:rPr>
          <w:strike/>
          <w:color w:val="auto"/>
        </w:rPr>
        <w:t>$1,000</w:t>
      </w:r>
      <w:r w:rsidRPr="0088793D">
        <w:rPr>
          <w:color w:val="auto"/>
        </w:rPr>
        <w:t xml:space="preserve"> </w:t>
      </w:r>
      <w:r w:rsidR="007066F8" w:rsidRPr="007066F8">
        <w:rPr>
          <w:color w:val="auto"/>
          <w:u w:val="single"/>
        </w:rPr>
        <w:t>$750</w:t>
      </w:r>
      <w:r w:rsidR="007066F8">
        <w:rPr>
          <w:color w:val="auto"/>
        </w:rPr>
        <w:t xml:space="preserve"> </w:t>
      </w:r>
      <w:r w:rsidRPr="0088793D">
        <w:rPr>
          <w:color w:val="auto"/>
        </w:rPr>
        <w:t>or more</w:t>
      </w:r>
      <w:r w:rsidR="007066F8" w:rsidRPr="007066F8">
        <w:rPr>
          <w:color w:val="auto"/>
          <w:u w:val="single"/>
        </w:rPr>
        <w:t>,</w:t>
      </w:r>
      <w:r w:rsidRPr="0088793D">
        <w:rPr>
          <w:color w:val="auto"/>
        </w:rPr>
        <w:t xml:space="preserve"> and the increase is entered in the property books as provided in </w:t>
      </w:r>
      <w:r w:rsidR="007448CC" w:rsidRPr="0088793D">
        <w:rPr>
          <w:color w:val="auto"/>
        </w:rPr>
        <w:t>§11-3-19 of this code</w:t>
      </w:r>
      <w:r w:rsidRPr="0088793D">
        <w:rPr>
          <w:color w:val="auto"/>
        </w:rPr>
        <w:t xml:space="preserve">, the assessor shall give notice of the increase to the person assessed or the person controlling the property as provided in section two of this article. The notice shall be given on or before January 15 of the tax year and advise the person assessed or the person controlling the property of his or her right to appear and seek an adjustment in the assessment: </w:t>
      </w:r>
      <w:r w:rsidRPr="0088793D">
        <w:rPr>
          <w:i/>
          <w:iCs/>
          <w:color w:val="auto"/>
        </w:rPr>
        <w:t>Provided,</w:t>
      </w:r>
      <w:r w:rsidRPr="0088793D">
        <w:rPr>
          <w:color w:val="auto"/>
        </w:rPr>
        <w:t xml:space="preserve"> That this notification requirement does not apply to industrial or natural resources property appraised by the Tax Commissioner under </w:t>
      </w:r>
      <w:r w:rsidR="007448CC" w:rsidRPr="0088793D">
        <w:rPr>
          <w:color w:val="auto"/>
        </w:rPr>
        <w:t xml:space="preserve">§11-6K-1 </w:t>
      </w:r>
      <w:r w:rsidR="007448CC" w:rsidRPr="0088793D">
        <w:rPr>
          <w:i/>
          <w:iCs/>
          <w:color w:val="auto"/>
        </w:rPr>
        <w:t>et seq.</w:t>
      </w:r>
      <w:r w:rsidR="007448CC" w:rsidRPr="0088793D">
        <w:rPr>
          <w:color w:val="auto"/>
        </w:rPr>
        <w:t xml:space="preserve"> </w:t>
      </w:r>
      <w:r w:rsidRPr="0088793D">
        <w:rPr>
          <w:color w:val="auto"/>
        </w:rPr>
        <w:t>of this c</w:t>
      </w:r>
      <w:r w:rsidR="007448CC" w:rsidRPr="0088793D">
        <w:rPr>
          <w:color w:val="auto"/>
        </w:rPr>
        <w:t>ode</w:t>
      </w:r>
      <w:r w:rsidRPr="0088793D">
        <w:rPr>
          <w:color w:val="auto"/>
        </w:rPr>
        <w:t xml:space="preserve"> which is assessed at </w:t>
      </w:r>
      <w:r w:rsidR="007448CC" w:rsidRPr="0088793D">
        <w:rPr>
          <w:color w:val="auto"/>
        </w:rPr>
        <w:t>60</w:t>
      </w:r>
      <w:r w:rsidRPr="0088793D">
        <w:rPr>
          <w:color w:val="auto"/>
        </w:rPr>
        <w:t xml:space="preserve"> percent of its true and actual value. The notice shall be made by first-class United States postage mailed to the address of the person assessed or the person controlling the property for payment of tax on the item in the previous year, unless there was a general increase of the entire valuation in one or more of the tax districts in which case the notice shall be by publication of the notice by a Class II-0 legal advertisement in compliance with </w:t>
      </w:r>
      <w:r w:rsidRPr="0088793D">
        <w:rPr>
          <w:strike/>
          <w:color w:val="auto"/>
        </w:rPr>
        <w:t>the provisions of</w:t>
      </w:r>
      <w:r w:rsidRPr="0088793D">
        <w:rPr>
          <w:color w:val="auto"/>
        </w:rPr>
        <w:t xml:space="preserve"> </w:t>
      </w:r>
      <w:r w:rsidR="007448CC" w:rsidRPr="0088793D">
        <w:rPr>
          <w:color w:val="auto"/>
        </w:rPr>
        <w:t xml:space="preserve">§59-3-1 et </w:t>
      </w:r>
      <w:r w:rsidR="007448CC" w:rsidRPr="0088793D">
        <w:rPr>
          <w:i/>
          <w:iCs/>
          <w:color w:val="auto"/>
        </w:rPr>
        <w:t>seq.</w:t>
      </w:r>
      <w:r w:rsidR="007448CC" w:rsidRPr="0088793D">
        <w:rPr>
          <w:color w:val="auto"/>
        </w:rPr>
        <w:t xml:space="preserve"> </w:t>
      </w:r>
      <w:r w:rsidRPr="0088793D">
        <w:rPr>
          <w:color w:val="auto"/>
        </w:rPr>
        <w:t>of this code. The area for the publication is the county. The requirement of notice under this section is satisfied and waived if personal notice of the increase is shown by:</w:t>
      </w:r>
    </w:p>
    <w:p w14:paraId="1E3DF211" w14:textId="77777777" w:rsidR="00033ECE" w:rsidRPr="0088793D" w:rsidRDefault="00033ECE" w:rsidP="000E3489">
      <w:pPr>
        <w:pStyle w:val="SectionBody"/>
        <w:rPr>
          <w:color w:val="auto"/>
        </w:rPr>
      </w:pPr>
      <w:r w:rsidRPr="0088793D">
        <w:rPr>
          <w:color w:val="auto"/>
        </w:rPr>
        <w:t>(1) The taxpayer having signed the assessment form after it had been completed showing the increase;</w:t>
      </w:r>
    </w:p>
    <w:p w14:paraId="497C45F9" w14:textId="0161A7CF" w:rsidR="00033ECE" w:rsidRPr="0088793D" w:rsidRDefault="00033ECE" w:rsidP="000E3489">
      <w:pPr>
        <w:pStyle w:val="SectionBody"/>
        <w:rPr>
          <w:color w:val="auto"/>
        </w:rPr>
      </w:pPr>
      <w:r w:rsidRPr="0088793D">
        <w:rPr>
          <w:color w:val="auto"/>
        </w:rPr>
        <w:t xml:space="preserve">(2) Notice was given as provided in </w:t>
      </w:r>
      <w:r w:rsidR="007448CC" w:rsidRPr="0088793D">
        <w:rPr>
          <w:color w:val="auto"/>
        </w:rPr>
        <w:t>§11-3-3</w:t>
      </w:r>
      <w:r w:rsidRPr="0088793D">
        <w:rPr>
          <w:color w:val="auto"/>
        </w:rPr>
        <w:t xml:space="preserve">-a of this </w:t>
      </w:r>
      <w:r w:rsidR="007448CC" w:rsidRPr="0088793D">
        <w:rPr>
          <w:color w:val="auto"/>
        </w:rPr>
        <w:t>code</w:t>
      </w:r>
      <w:r w:rsidRPr="0088793D">
        <w:rPr>
          <w:color w:val="auto"/>
        </w:rPr>
        <w:t>; or</w:t>
      </w:r>
    </w:p>
    <w:p w14:paraId="3F954C74" w14:textId="77777777" w:rsidR="00033ECE" w:rsidRPr="0088793D" w:rsidRDefault="00033ECE" w:rsidP="000E3489">
      <w:pPr>
        <w:pStyle w:val="SectionBody"/>
        <w:rPr>
          <w:color w:val="auto"/>
        </w:rPr>
      </w:pPr>
      <w:r w:rsidRPr="0088793D">
        <w:rPr>
          <w:color w:val="auto"/>
        </w:rPr>
        <w:t>(3) The person assessed executing acknowledgment of the notice of the increase.</w:t>
      </w:r>
    </w:p>
    <w:p w14:paraId="5303AAEE" w14:textId="74C64349" w:rsidR="00033ECE" w:rsidRPr="0088793D" w:rsidRDefault="00033ECE" w:rsidP="00CC1F3B">
      <w:pPr>
        <w:pStyle w:val="SectionBody"/>
        <w:rPr>
          <w:color w:val="auto"/>
        </w:rPr>
      </w:pPr>
      <w:r w:rsidRPr="0088793D">
        <w:rPr>
          <w:color w:val="auto"/>
        </w:rPr>
        <w:t xml:space="preserve">(b) During the initial reappraisal of all property under </w:t>
      </w:r>
      <w:r w:rsidR="00A61BA8" w:rsidRPr="0088793D">
        <w:rPr>
          <w:color w:val="auto"/>
        </w:rPr>
        <w:t>§11-1C-7</w:t>
      </w:r>
      <w:r w:rsidRPr="0088793D">
        <w:rPr>
          <w:color w:val="auto"/>
        </w:rPr>
        <w:t xml:space="preserve"> of this c</w:t>
      </w:r>
      <w:r w:rsidR="00A61BA8" w:rsidRPr="0088793D">
        <w:rPr>
          <w:color w:val="auto"/>
        </w:rPr>
        <w:t>ode</w:t>
      </w:r>
      <w:r w:rsidRPr="0088793D">
        <w:rPr>
          <w:color w:val="auto"/>
        </w:rPr>
        <w:t xml:space="preserve">, the Tax Commissioner and each county assessor shall send every person owning or controlling property appraised by the Tax Commissioner or the county assessor a pamphlet which explains the reappraisal process and its equalization goal in a detailed yet informal manner. The property valuation training and procedures commission, created under </w:t>
      </w:r>
      <w:r w:rsidR="00A61BA8" w:rsidRPr="0088793D">
        <w:rPr>
          <w:color w:val="auto"/>
        </w:rPr>
        <w:t xml:space="preserve">§11-1C-1 </w:t>
      </w:r>
      <w:r w:rsidR="00A61BA8" w:rsidRPr="0088793D">
        <w:rPr>
          <w:i/>
          <w:iCs/>
          <w:color w:val="auto"/>
        </w:rPr>
        <w:t>et seq.</w:t>
      </w:r>
      <w:r w:rsidR="00A61BA8" w:rsidRPr="0088793D">
        <w:rPr>
          <w:color w:val="auto"/>
        </w:rPr>
        <w:t xml:space="preserve"> </w:t>
      </w:r>
      <w:r w:rsidRPr="0088793D">
        <w:rPr>
          <w:color w:val="auto"/>
        </w:rPr>
        <w:t>section three, of this c</w:t>
      </w:r>
      <w:r w:rsidR="00A61BA8" w:rsidRPr="0088793D">
        <w:rPr>
          <w:color w:val="auto"/>
        </w:rPr>
        <w:t>ode</w:t>
      </w:r>
      <w:r w:rsidRPr="0088793D">
        <w:rPr>
          <w:color w:val="auto"/>
        </w:rPr>
        <w:t>, shall design the pamphlet for use in all counties while allowing individual county information to be included if it determines that the information would improve understanding of the process.</w:t>
      </w:r>
      <w:r w:rsidR="00163F1E" w:rsidRPr="0088793D">
        <w:rPr>
          <w:color w:val="auto"/>
        </w:rPr>
        <w:t xml:space="preserve"> </w:t>
      </w:r>
    </w:p>
    <w:p w14:paraId="6B1EB566" w14:textId="77777777" w:rsidR="00C33014" w:rsidRPr="0088793D" w:rsidRDefault="00C33014" w:rsidP="00CC1F3B">
      <w:pPr>
        <w:pStyle w:val="Note"/>
        <w:rPr>
          <w:color w:val="auto"/>
        </w:rPr>
      </w:pPr>
    </w:p>
    <w:p w14:paraId="1421F3B5" w14:textId="00B13431" w:rsidR="006865E9" w:rsidRPr="0088793D" w:rsidRDefault="00CF1DCA" w:rsidP="00CC1F3B">
      <w:pPr>
        <w:pStyle w:val="Note"/>
        <w:rPr>
          <w:color w:val="auto"/>
        </w:rPr>
      </w:pPr>
      <w:r w:rsidRPr="0088793D">
        <w:rPr>
          <w:color w:val="auto"/>
        </w:rPr>
        <w:t>NOTE: The</w:t>
      </w:r>
      <w:r w:rsidR="006865E9" w:rsidRPr="0088793D">
        <w:rPr>
          <w:color w:val="auto"/>
        </w:rPr>
        <w:t xml:space="preserve"> purpose of this bill is to </w:t>
      </w:r>
      <w:r w:rsidR="007448CC" w:rsidRPr="0088793D">
        <w:rPr>
          <w:color w:val="auto"/>
        </w:rPr>
        <w:t xml:space="preserve">require notice of increased assessment of real property, if assessed value is more than </w:t>
      </w:r>
      <w:r w:rsidR="007066F8">
        <w:rPr>
          <w:color w:val="auto"/>
        </w:rPr>
        <w:t>five</w:t>
      </w:r>
      <w:r w:rsidR="007448CC" w:rsidRPr="0088793D">
        <w:rPr>
          <w:color w:val="auto"/>
        </w:rPr>
        <w:t xml:space="preserve"> percent of the valuation for the last tax year.</w:t>
      </w:r>
    </w:p>
    <w:p w14:paraId="758F1EB9" w14:textId="77777777" w:rsidR="006865E9" w:rsidRPr="0088793D" w:rsidRDefault="00AE48A0" w:rsidP="00CC1F3B">
      <w:pPr>
        <w:pStyle w:val="Note"/>
        <w:rPr>
          <w:color w:val="auto"/>
        </w:rPr>
      </w:pPr>
      <w:r w:rsidRPr="0088793D">
        <w:rPr>
          <w:color w:val="auto"/>
        </w:rPr>
        <w:t>Strike-throughs indicate language that would be stricken from a heading or the present law and underscoring indicates new language that would be added.</w:t>
      </w:r>
    </w:p>
    <w:sectPr w:rsidR="006865E9" w:rsidRPr="0088793D" w:rsidSect="00033EC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E06C" w14:textId="77777777" w:rsidR="00033ECE" w:rsidRPr="00B844FE" w:rsidRDefault="00033ECE" w:rsidP="00B844FE">
      <w:r>
        <w:separator/>
      </w:r>
    </w:p>
  </w:endnote>
  <w:endnote w:type="continuationSeparator" w:id="0">
    <w:p w14:paraId="60BE9671" w14:textId="77777777" w:rsidR="00033ECE" w:rsidRPr="00B844FE" w:rsidRDefault="00033E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4BC8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5E67A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2683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8E8A" w14:textId="77777777" w:rsidR="00A75763" w:rsidRDefault="00A7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9359" w14:textId="77777777" w:rsidR="00033ECE" w:rsidRPr="00B844FE" w:rsidRDefault="00033ECE" w:rsidP="00B844FE">
      <w:r>
        <w:separator/>
      </w:r>
    </w:p>
  </w:footnote>
  <w:footnote w:type="continuationSeparator" w:id="0">
    <w:p w14:paraId="170062AA" w14:textId="77777777" w:rsidR="00033ECE" w:rsidRPr="00B844FE" w:rsidRDefault="00033E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3198" w14:textId="77777777" w:rsidR="002A0269" w:rsidRPr="00B844FE" w:rsidRDefault="00AE76ED">
    <w:pPr>
      <w:pStyle w:val="Header"/>
    </w:pPr>
    <w:sdt>
      <w:sdtPr>
        <w:id w:val="-684364211"/>
        <w:placeholder>
          <w:docPart w:val="6A6FC6C37CC04EADB2D1EFF3CC80E7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6FC6C37CC04EADB2D1EFF3CC80E7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758" w14:textId="07789F7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3EC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3ECE">
          <w:rPr>
            <w:sz w:val="22"/>
            <w:szCs w:val="22"/>
          </w:rPr>
          <w:t>2024R3536</w:t>
        </w:r>
      </w:sdtContent>
    </w:sdt>
  </w:p>
  <w:p w14:paraId="0D06F51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67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CE"/>
    <w:rsid w:val="0000526A"/>
    <w:rsid w:val="00033ECE"/>
    <w:rsid w:val="000573A9"/>
    <w:rsid w:val="00085D22"/>
    <w:rsid w:val="00093AB0"/>
    <w:rsid w:val="000C5C77"/>
    <w:rsid w:val="000E3912"/>
    <w:rsid w:val="0010070F"/>
    <w:rsid w:val="0015112E"/>
    <w:rsid w:val="001552E7"/>
    <w:rsid w:val="001566B4"/>
    <w:rsid w:val="00163F1E"/>
    <w:rsid w:val="001A66B7"/>
    <w:rsid w:val="001C279E"/>
    <w:rsid w:val="001D459E"/>
    <w:rsid w:val="0022348D"/>
    <w:rsid w:val="00227FFB"/>
    <w:rsid w:val="0027011C"/>
    <w:rsid w:val="00274200"/>
    <w:rsid w:val="00275740"/>
    <w:rsid w:val="002A0269"/>
    <w:rsid w:val="00303684"/>
    <w:rsid w:val="003143F5"/>
    <w:rsid w:val="00314854"/>
    <w:rsid w:val="00394191"/>
    <w:rsid w:val="003C51CD"/>
    <w:rsid w:val="003C6034"/>
    <w:rsid w:val="00400B5C"/>
    <w:rsid w:val="004368E0"/>
    <w:rsid w:val="004C13DD"/>
    <w:rsid w:val="004C175B"/>
    <w:rsid w:val="004D3ABE"/>
    <w:rsid w:val="004E3441"/>
    <w:rsid w:val="00500579"/>
    <w:rsid w:val="005A5366"/>
    <w:rsid w:val="006369EB"/>
    <w:rsid w:val="00637E73"/>
    <w:rsid w:val="006865E9"/>
    <w:rsid w:val="00686E9A"/>
    <w:rsid w:val="00691F3E"/>
    <w:rsid w:val="00694BFB"/>
    <w:rsid w:val="006A106B"/>
    <w:rsid w:val="006C523D"/>
    <w:rsid w:val="006D4036"/>
    <w:rsid w:val="007066F8"/>
    <w:rsid w:val="007448CC"/>
    <w:rsid w:val="007A5259"/>
    <w:rsid w:val="007A7081"/>
    <w:rsid w:val="007E41A7"/>
    <w:rsid w:val="007F1CF5"/>
    <w:rsid w:val="00834EDE"/>
    <w:rsid w:val="008736AA"/>
    <w:rsid w:val="0088793D"/>
    <w:rsid w:val="008D275D"/>
    <w:rsid w:val="00946186"/>
    <w:rsid w:val="00980327"/>
    <w:rsid w:val="00986478"/>
    <w:rsid w:val="009B5557"/>
    <w:rsid w:val="009F1067"/>
    <w:rsid w:val="00A31E01"/>
    <w:rsid w:val="00A527AD"/>
    <w:rsid w:val="00A61BA8"/>
    <w:rsid w:val="00A718CF"/>
    <w:rsid w:val="00A75763"/>
    <w:rsid w:val="00AE48A0"/>
    <w:rsid w:val="00AE61BE"/>
    <w:rsid w:val="00AE76ED"/>
    <w:rsid w:val="00B16F25"/>
    <w:rsid w:val="00B24422"/>
    <w:rsid w:val="00B66B81"/>
    <w:rsid w:val="00B71E6F"/>
    <w:rsid w:val="00B80C20"/>
    <w:rsid w:val="00B844FE"/>
    <w:rsid w:val="00B86B4F"/>
    <w:rsid w:val="00BA1F84"/>
    <w:rsid w:val="00BC562B"/>
    <w:rsid w:val="00C03F72"/>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82EDA"/>
  <w15:chartTrackingRefBased/>
  <w15:docId w15:val="{EFED66D6-4F7B-4291-9C67-1EDE25E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3ECE"/>
    <w:rPr>
      <w:rFonts w:eastAsia="Calibri"/>
      <w:b/>
      <w:caps/>
      <w:color w:val="000000"/>
      <w:sz w:val="24"/>
    </w:rPr>
  </w:style>
  <w:style w:type="character" w:customStyle="1" w:styleId="SectionBodyChar">
    <w:name w:val="Section Body Char"/>
    <w:link w:val="SectionBody"/>
    <w:rsid w:val="00033ECE"/>
    <w:rPr>
      <w:rFonts w:eastAsia="Calibri"/>
      <w:color w:val="000000"/>
    </w:rPr>
  </w:style>
  <w:style w:type="character" w:customStyle="1" w:styleId="SectionHeadingChar">
    <w:name w:val="Section Heading Char"/>
    <w:link w:val="SectionHeading"/>
    <w:rsid w:val="00033EC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79C4A7D194DC680E45CCA1497BF4B"/>
        <w:category>
          <w:name w:val="General"/>
          <w:gallery w:val="placeholder"/>
        </w:category>
        <w:types>
          <w:type w:val="bbPlcHdr"/>
        </w:types>
        <w:behaviors>
          <w:behavior w:val="content"/>
        </w:behaviors>
        <w:guid w:val="{F8AABDB0-C5F7-4F08-B8E3-6EC3950CAC06}"/>
      </w:docPartPr>
      <w:docPartBody>
        <w:p w:rsidR="0075297D" w:rsidRDefault="0075297D">
          <w:pPr>
            <w:pStyle w:val="72379C4A7D194DC680E45CCA1497BF4B"/>
          </w:pPr>
          <w:r w:rsidRPr="00B844FE">
            <w:t>Prefix Text</w:t>
          </w:r>
        </w:p>
      </w:docPartBody>
    </w:docPart>
    <w:docPart>
      <w:docPartPr>
        <w:name w:val="6A6FC6C37CC04EADB2D1EFF3CC80E7DA"/>
        <w:category>
          <w:name w:val="General"/>
          <w:gallery w:val="placeholder"/>
        </w:category>
        <w:types>
          <w:type w:val="bbPlcHdr"/>
        </w:types>
        <w:behaviors>
          <w:behavior w:val="content"/>
        </w:behaviors>
        <w:guid w:val="{01CE822D-4E8D-4C90-8216-685218E34A66}"/>
      </w:docPartPr>
      <w:docPartBody>
        <w:p w:rsidR="0075297D" w:rsidRDefault="0075297D">
          <w:pPr>
            <w:pStyle w:val="6A6FC6C37CC04EADB2D1EFF3CC80E7DA"/>
          </w:pPr>
          <w:r w:rsidRPr="00B844FE">
            <w:t>[Type here]</w:t>
          </w:r>
        </w:p>
      </w:docPartBody>
    </w:docPart>
    <w:docPart>
      <w:docPartPr>
        <w:name w:val="A94AFE6FF01E406DADBE0683909ADB6C"/>
        <w:category>
          <w:name w:val="General"/>
          <w:gallery w:val="placeholder"/>
        </w:category>
        <w:types>
          <w:type w:val="bbPlcHdr"/>
        </w:types>
        <w:behaviors>
          <w:behavior w:val="content"/>
        </w:behaviors>
        <w:guid w:val="{6024F535-41FE-4983-B302-F5998D0C3E3D}"/>
      </w:docPartPr>
      <w:docPartBody>
        <w:p w:rsidR="0075297D" w:rsidRDefault="0075297D">
          <w:pPr>
            <w:pStyle w:val="A94AFE6FF01E406DADBE0683909ADB6C"/>
          </w:pPr>
          <w:r w:rsidRPr="00B844FE">
            <w:t>Number</w:t>
          </w:r>
        </w:p>
      </w:docPartBody>
    </w:docPart>
    <w:docPart>
      <w:docPartPr>
        <w:name w:val="337E8CE3C68F421EBE24C8B961AA107B"/>
        <w:category>
          <w:name w:val="General"/>
          <w:gallery w:val="placeholder"/>
        </w:category>
        <w:types>
          <w:type w:val="bbPlcHdr"/>
        </w:types>
        <w:behaviors>
          <w:behavior w:val="content"/>
        </w:behaviors>
        <w:guid w:val="{87175306-B8FB-49F6-A281-A14FD718E9A6}"/>
      </w:docPartPr>
      <w:docPartBody>
        <w:p w:rsidR="0075297D" w:rsidRDefault="0075297D">
          <w:pPr>
            <w:pStyle w:val="337E8CE3C68F421EBE24C8B961AA107B"/>
          </w:pPr>
          <w:r w:rsidRPr="00B844FE">
            <w:t>Enter Sponsors Here</w:t>
          </w:r>
        </w:p>
      </w:docPartBody>
    </w:docPart>
    <w:docPart>
      <w:docPartPr>
        <w:name w:val="B773A30405BD447FA7204B456A02FE35"/>
        <w:category>
          <w:name w:val="General"/>
          <w:gallery w:val="placeholder"/>
        </w:category>
        <w:types>
          <w:type w:val="bbPlcHdr"/>
        </w:types>
        <w:behaviors>
          <w:behavior w:val="content"/>
        </w:behaviors>
        <w:guid w:val="{05423449-65F6-4164-8AC2-5DAE7A1CDA1D}"/>
      </w:docPartPr>
      <w:docPartBody>
        <w:p w:rsidR="0075297D" w:rsidRDefault="0075297D">
          <w:pPr>
            <w:pStyle w:val="B773A30405BD447FA7204B456A02FE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7D"/>
    <w:rsid w:val="0075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379C4A7D194DC680E45CCA1497BF4B">
    <w:name w:val="72379C4A7D194DC680E45CCA1497BF4B"/>
  </w:style>
  <w:style w:type="paragraph" w:customStyle="1" w:styleId="6A6FC6C37CC04EADB2D1EFF3CC80E7DA">
    <w:name w:val="6A6FC6C37CC04EADB2D1EFF3CC80E7DA"/>
  </w:style>
  <w:style w:type="paragraph" w:customStyle="1" w:styleId="A94AFE6FF01E406DADBE0683909ADB6C">
    <w:name w:val="A94AFE6FF01E406DADBE0683909ADB6C"/>
  </w:style>
  <w:style w:type="paragraph" w:customStyle="1" w:styleId="337E8CE3C68F421EBE24C8B961AA107B">
    <w:name w:val="337E8CE3C68F421EBE24C8B961AA107B"/>
  </w:style>
  <w:style w:type="character" w:styleId="PlaceholderText">
    <w:name w:val="Placeholder Text"/>
    <w:basedOn w:val="DefaultParagraphFont"/>
    <w:uiPriority w:val="99"/>
    <w:semiHidden/>
    <w:rPr>
      <w:color w:val="808080"/>
    </w:rPr>
  </w:style>
  <w:style w:type="paragraph" w:customStyle="1" w:styleId="B773A30405BD447FA7204B456A02FE35">
    <w:name w:val="B773A30405BD447FA7204B456A02F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2024-02-12T18:18:00Z</dcterms:created>
  <dcterms:modified xsi:type="dcterms:W3CDTF">2024-02-12T18:18:00Z</dcterms:modified>
</cp:coreProperties>
</file>